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a-Siatka"/>
        <w:tblW w:w="8918" w:type="dxa"/>
        <w:jc w:val="left"/>
        <w:tblInd w:w="0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2296"/>
        <w:gridCol w:w="6621"/>
      </w:tblGrid>
      <w:tr>
        <w:trPr>
          <w:tblHeader w:val="true"/>
        </w:trPr>
        <w:tc>
          <w:tcPr>
            <w:tcW w:w="891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 xml:space="preserve">Klauzula informacyjna dot. przetwarzania danych osobowych </w:t>
              <w:br/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rejestrze zastrzeżeń numerów PESEL</w:t>
            </w:r>
          </w:p>
        </w:tc>
      </w:tr>
      <w:tr>
        <w:trPr>
          <w:trHeight w:val="2350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TOŻSAMOŚĆ ADMINISTRATORA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Administratorami są: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Wójt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Gminy Suwałki mający siedzibę w Suwałkach (16-400) przy ul. Świerkowej 45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– w zakresie rejestracji wniosków składanych w organie dowolnej gminy w ramach zastrzeżenia numeru PESEL, cofania zastrzeżenia, wydawania zaświadczenia zawierającego odpis danych dotyczących tej osoby przetwarzanych w rejestrze zastrzeżeń numerów PESEL oraz przechowywania przez Wójta/Burmistrza/Prezydenta miasta dokumentacji pisemnej;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Cyfryzacji, mający siedzibę w Warszawie (00-060) przy ul. Królewskiej 27 – odpowiada za utrzymanie i rozwój rejestru zastrzeżeń numerów PESEL.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1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Spraw Wewnętrznych i Administracji, mający siedzibę w Warszawie (02-591) przy ul. Stefana Batorego 5 – odpowiada za kształtowanie jednolitych zasad postępowania w kraju w zakresie ewidencji ludności, w tym zastrzegania oraz cofania zastrzeżenia numeru PESEL.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ADMINISTRATORA</w:t>
            </w:r>
          </w:p>
        </w:tc>
        <w:tc>
          <w:tcPr>
            <w:tcW w:w="6621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Wójtem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>Gminy Suwałki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można się skontaktować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poprzez adres email: </w:t>
            </w:r>
            <w:hyperlink r:id="rId2">
              <w:r>
                <w:rPr>
                  <w:rStyle w:val="Czeinternetowe"/>
                  <w:rFonts w:eastAsia="Calibri" w:cs="Arial" w:ascii="Arial" w:hAnsi="Arial"/>
                  <w:kern w:val="0"/>
                  <w:sz w:val="18"/>
                  <w:szCs w:val="18"/>
                  <w:lang w:val="pl-PL" w:eastAsia="en-US" w:bidi="ar-SA"/>
                </w:rPr>
                <w:t>sekretariat@gmina.suwalki.pl</w:t>
              </w:r>
            </w:hyperlink>
            <w:hyperlink r:id="rId3">
              <w:r>
                <w:rPr>
                  <w:rFonts w:eastAsia="Calibri" w:cs="Arial" w:ascii="Arial" w:hAnsi="Arial"/>
                  <w:kern w:val="0"/>
                  <w:sz w:val="18"/>
                  <w:szCs w:val="18"/>
                  <w:lang w:val="pl-PL" w:eastAsia="en-US" w:bidi="ar-SA"/>
                </w:rPr>
                <w:t xml:space="preserve"> lub </w:t>
              </w:r>
            </w:hyperlink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pisemnie na adres siedziby administratora.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Ministrem Cyfryzacji można się skontaktować poprzez adres email: </w:t>
            </w:r>
            <w:hyperlink r:id="rId4">
              <w:r>
                <w:rPr>
                  <w:rStyle w:val="Czeinternetowe"/>
                  <w:rFonts w:eastAsia="Calibri" w:cs="Arial" w:ascii="Arial" w:hAnsi="Arial"/>
                  <w:color w:val="auto"/>
                  <w:kern w:val="0"/>
                  <w:sz w:val="18"/>
                  <w:szCs w:val="18"/>
                  <w:lang w:val="pl-PL" w:eastAsia="en-US" w:bidi="ar-SA"/>
                </w:rPr>
                <w:t>kancelaria@cyfra.gov.pl</w:t>
              </w:r>
            </w:hyperlink>
            <w:r>
              <w:rPr>
                <w:rStyle w:val="Czeinternetowe"/>
                <w:rFonts w:eastAsia="Calibri"/>
                <w:color w:val="auto"/>
                <w:kern w:val="0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lub pisemnie na adres siedziby administratora.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Ministrem Spraw Wewnętrznych i Administracji można się skontaktować poprzez adres email: </w:t>
            </w:r>
            <w:hyperlink r:id="rId5">
              <w:r>
                <w:rPr>
                  <w:rStyle w:val="Czeinternetowe"/>
                  <w:rFonts w:eastAsia="Calibri" w:cs="Arial" w:ascii="Arial" w:hAnsi="Arial"/>
                  <w:kern w:val="0"/>
                  <w:sz w:val="18"/>
                  <w:szCs w:val="18"/>
                  <w:lang w:val="pl-PL" w:eastAsia="en-US" w:bidi="ar-SA"/>
                </w:rPr>
                <w:t>iod@mswia.gov.pl</w:t>
              </w:r>
            </w:hyperlink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lub pisemnie na adres siedziby administratora.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INSPEKTORA OCHRONY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Wójt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>Gminy Suwałki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wyznaczył inspektora ochrony danych,        z którym może się Pani/Pan skontaktować poprzez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adres email: </w:t>
            </w:r>
            <w:hyperlink r:id="rId6">
              <w:r>
                <w:rPr>
                  <w:rStyle w:val="Czeinternetowe"/>
                  <w:rFonts w:eastAsia="Calibri" w:cs="Arial" w:ascii="Arial" w:hAnsi="Arial"/>
                  <w:kern w:val="0"/>
                  <w:sz w:val="18"/>
                  <w:szCs w:val="18"/>
                  <w:lang w:val="pl-PL" w:eastAsia="en-US" w:bidi="ar-SA"/>
                </w:rPr>
                <w:t>iod@gmina.suwalki.pl</w:t>
              </w:r>
            </w:hyperlink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– Minister Cyfryzacji wyznaczył inspektora ochrony danych, z którym może się Pan/Pani kontaktować poprzez email: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iod.mc@cyfra.gov.pl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Administrator – Minister Spraw Wewnętrznych i Administracji wyznaczył inspektora ochrony danych, z którym może się Pani/Pan skontaktować poprzez email: iod@mswia.gov.pl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CELE PRZETWARZANIA I PODSTAWA PRAWNA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będą przetwarzane na podstawie art. 6 ust.1 lit. c RODO</w:t>
            </w:r>
            <w:r>
              <w:rPr>
                <w:rStyle w:val="Zakotwiczenieprzypisudolnego"/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footnoteReference w:id="2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w związku z przepisem szczególnym ustawy przez: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Wójta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Gminy Suwałki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w celu rejestracji Pani/Pana danych w rejestrze zastrzeżeń numerów PESEL, cofnięcia zastrzeżenia, i wydania zaświadczenia zawierającego odpis danych przetwarzanych w rejestrze zastrzeżeń numerów PESEL – na podstawie art.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eastAsia="en-US" w:bidi="ar-SA"/>
              </w:rPr>
              <w:t>23e ust. 2 pkt. 2, art. 23i ust. 4 oraz art. 23k ust. 2 ustawy z dnia 24 września 2010 r. o ewidencji ludności;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Ministra Cyfryzacji - 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>
            <w:pPr>
              <w:pStyle w:val="Normal"/>
              <w:widowControl/>
              <w:spacing w:lineRule="auto" w:line="276" w:before="0" w:after="0"/>
              <w:ind w:left="713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>
            <w:pPr>
              <w:pStyle w:val="Normal"/>
              <w:widowControl/>
              <w:spacing w:lineRule="auto" w:line="276" w:before="0" w:after="0"/>
              <w:ind w:left="713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76" w:before="0" w:after="0"/>
              <w:ind w:left="713" w:hanging="42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Ministra Spraw Wewnętrznych i Administracji – w celu sprawowania nadzoru nad działalnością wojewody w zakresie realizacji obowiązków określonych w ustawie o ewidencji ludności – na podstawie art. 5 ust. 3 i 4 ustawy o ewidencji ludności.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ODBIORCY DANYCH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Podmiotami przetwarzającymi są: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-Centralny Ośrodek Informatyki z siedzibą w Warszawie przy Alejach Jerozolimskich 132-136, 02-305 Warszawa, świadczący usługę utrzymania systemu.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Pani/Pana dane osobowe udostępnia się: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1) podmiotom, o których mowa w art. 46 ust. 1, w zakresie niezbędnym do realizacji ustawowych zadań;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2) podmiotom, o których mowa w art. 46 ust. 2 pkt 1, po wykazaniu interesu faktycznego;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3) podmiotom, o których mowa w art. 4 ust. 1 pkt 1, 17, 18 i 20 ustawy z dnia 29 sierpnia 1997 r. - Prawo bankowe, oraz instytucji utworzonej na podstawie art. 105 ust. 4 tej ustawy;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4) notariuszom;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5) dostawcom publicznie dostępnych usług telekomunikacyjnych;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6) spółdzielczym kasom oszczędnościowo-kredytowych;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7) kredytodawcom w rozumieniu art. 5 pkt 2 ustawy z dnia 12 maja 2011 r. o kredycie konsumenckim;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8) dostawcom, o których mowa w art. 4 ust. 2 pkt 4, 6, 9 i 11 ustawy z dnia 19 sierpnia 2011 r. o usługach płatniczych (Dz.U. z 2024 r. poz. 30);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9) biurom informacji gospodarczej, o których mowa w art. 5 ustawy z dnia 9 kwietnia 2010 r. o udostępnianiu informacji gospodarczych i wymianie danych gospodarczych (Dz.U. z 2023 r. poz. 2160)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KATEGORIE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Imię (imiona), nazwisko, numer PESEL, uzasadnienie złożenia wniosku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przez pełnomocnika.</w:t>
            </w:r>
          </w:p>
        </w:tc>
      </w:tr>
      <w:tr>
        <w:trPr>
          <w:trHeight w:val="52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OKRES PRZECHOWYWANIA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Danych zgromadzonych w rejestrze zastrzeżeń numerów PESEL nie usuwa się.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Zapisy w dziennikach systemów (logach) przechowywane są przez 6 lat od ostatniego dnia roku kalendarzowego, w którym powstał zapis.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Dane zgromadzone w postaci papierowej są przetwarzane zgodnie z klasyfikacją wynikająca z jednolitego rzeczowego wykazu akt organów gminy i związków międzygminnych oraz urzędów obsługujących te organy i związki (rozporządzenie Prezesa Rady Ministrów z dnia 18 stycznia 2011 r. </w:t>
            </w:r>
            <w:hyperlink r:id="rId7">
              <w:r>
                <w:rPr>
                  <w:rFonts w:eastAsia="Calibri" w:cs="Arial" w:ascii="Arial" w:hAnsi="Arial"/>
                  <w:color w:val="000000" w:themeColor="text1"/>
                  <w:kern w:val="0"/>
                  <w:sz w:val="18"/>
                  <w:szCs w:val="18"/>
                  <w:lang w:val="pl-PL" w:eastAsia="en-US" w:bidi="ar-SA"/>
                </w:rPr>
                <w:t>Dz.U. Nr 14, poz. 67)</w:t>
              </w:r>
            </w:hyperlink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dokumentacja spraw z zakresu ewidencji ludności po 50 latach jest oceniana pod kątem możliwości zniszczenia;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76" w:before="0" w:after="1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dokumentacja spraw związanych z udostępnianiem danych i wydawaniem zaświadczeń z ewidencji ludności niszczona jest po 5 latach.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PRAWA PODMIOTÓW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prawo: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dostępu do danych osobowych, także za pomocą usługi elektronicznej udostępnionej przez ministra właściwego do spraw informatyzacji, o której mowa w art. 23k ustawy o ewidencji ludności;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żądania ich sprostowania;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ograniczenia przetwarzania.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68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PRAWO WNIESIENIA SKARGI DO ORGANU NADZORCZEGO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również prawo wniesienia skargi do organu nadzorczego: Prezesa Urzędu Ochrony Danych Osobowych, ul Stawki 2, 00-193 Warszawa.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ŹRÓDŁO POCHODZENIA DANYCH OSOBOWYCH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Rejestr PESEL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Pani/Pana wniosek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- </w:t>
            </w:r>
            <w:r>
              <w:rPr>
                <w:rFonts w:eastAsia="Calibri"/>
                <w:kern w:val="0"/>
                <w:lang w:val="pl-PL" w:eastAsia="en-US" w:bidi="ar-SA"/>
              </w:rPr>
              <w:t>p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ełnomocnik, kurator albo opiekun prawny, który w Pani/Pana imieniu składa wniosek.</w:t>
            </w:r>
          </w:p>
        </w:tc>
      </w:tr>
      <w:tr>
        <w:trPr>
          <w:trHeight w:val="139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INFORMACJA O DOWOLNOŚCI LUB OBOWIĄZKU PODANIA DANYCH ORAZ KONSEKWENCJACH NIEPODANIA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Podanie danych jest dobrowolne, ale niezbędne do zastrzeżenia numeru PESEL lub cofnięcia zastrzeżenia.</w:t>
            </w:r>
          </w:p>
        </w:tc>
      </w:tr>
      <w:tr>
        <w:trPr>
          <w:trHeight w:val="1074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INFORMACJA O ZAUTOMATYZOWANYM PODEJMOWANIU DECYZJI I PROFILOWANIU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osobowe nie będą podlegały zautomatyzowanemu podejmowaniu decyzji w tym profilowaniu.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  <w:sz w:val="18"/>
          <w:szCs w:val="1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header="0" w:top="1247" w:footer="0" w:bottom="124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 </w:t>
      </w: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327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e7e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45810"/>
    <w:rPr>
      <w:color w:val="0563C1" w:themeColor="hyperlink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58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458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be7e5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b79f9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b79f9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169f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169f5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700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7000a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a327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44581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4581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458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c068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b79f9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169f5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700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700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gmina.suwalki.p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kancelaria@cyfra.gov.pl" TargetMode="External"/><Relationship Id="rId5" Type="http://schemas.openxmlformats.org/officeDocument/2006/relationships/hyperlink" Target="mailto:iod@mswia.gov.pl" TargetMode="External"/><Relationship Id="rId6" Type="http://schemas.openxmlformats.org/officeDocument/2006/relationships/hyperlink" Target="mailto:iod@gmina.suwalki.pl" TargetMode="External"/><Relationship Id="rId7" Type="http://schemas.openxmlformats.org/officeDocument/2006/relationships/hyperlink" Target="http://sip.legalis.pl/document-view.seam?documentId=mfrxilrrgyydimztgm3ds" TargetMode="Externa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LibreOffice/7.0.3.1$Windows_X86_64 LibreOffice_project/d7547858d014d4cf69878db179d326fc3483e082</Application>
  <Pages>3</Pages>
  <Words>971</Words>
  <Characters>6123</Characters>
  <CharactersWithSpaces>7051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2024-06-12T11:33:00Z</dcterms:created>
  <dc:creator/>
  <dc:description/>
  <dc:language>pl-PL</dc:language>
  <cp:lastModifiedBy/>
  <cp:lastPrinted>2024-07-29T10:10:03Z</cp:lastPrinted>
  <dcterms:modified xsi:type="dcterms:W3CDTF">2024-07-29T11:52:55Z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