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968AE" w14:textId="77777777" w:rsidR="00AA3195" w:rsidRPr="00275862" w:rsidRDefault="00F41A13" w:rsidP="00F41A13">
      <w:pPr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7586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Załącznik do zarządzenia </w:t>
      </w:r>
      <w:r w:rsidR="00800843" w:rsidRPr="0027586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Nr </w:t>
      </w:r>
      <w:r w:rsidR="00D43AE3" w:rsidRPr="00275862">
        <w:rPr>
          <w:rFonts w:ascii="Times New Roman" w:hAnsi="Times New Roman" w:cs="Times New Roman"/>
          <w:color w:val="000000" w:themeColor="text1"/>
          <w:sz w:val="18"/>
          <w:szCs w:val="18"/>
        </w:rPr>
        <w:t>398/22</w:t>
      </w:r>
      <w:r w:rsidR="0046070D" w:rsidRPr="0027586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275862">
        <w:rPr>
          <w:rFonts w:ascii="Times New Roman" w:hAnsi="Times New Roman" w:cs="Times New Roman"/>
          <w:color w:val="000000" w:themeColor="text1"/>
          <w:sz w:val="18"/>
          <w:szCs w:val="18"/>
        </w:rPr>
        <w:t>Wójta Gminy Suwałki</w:t>
      </w:r>
    </w:p>
    <w:p w14:paraId="1401CCF5" w14:textId="77777777" w:rsidR="00F41A13" w:rsidRPr="00275862" w:rsidRDefault="00800843" w:rsidP="00F41A13">
      <w:pPr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75862">
        <w:rPr>
          <w:rFonts w:ascii="Times New Roman" w:hAnsi="Times New Roman" w:cs="Times New Roman"/>
          <w:color w:val="000000" w:themeColor="text1"/>
          <w:sz w:val="18"/>
          <w:szCs w:val="18"/>
        </w:rPr>
        <w:t>z</w:t>
      </w:r>
      <w:r w:rsidR="00F41A13" w:rsidRPr="0027586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dnia </w:t>
      </w:r>
      <w:r w:rsidR="00D43AE3" w:rsidRPr="00275862">
        <w:rPr>
          <w:rFonts w:ascii="Times New Roman" w:hAnsi="Times New Roman" w:cs="Times New Roman"/>
          <w:color w:val="000000" w:themeColor="text1"/>
          <w:sz w:val="18"/>
          <w:szCs w:val="18"/>
        </w:rPr>
        <w:t>13 maja</w:t>
      </w:r>
      <w:r w:rsidR="004646C8" w:rsidRPr="0027586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D43AE3" w:rsidRPr="00275862">
        <w:rPr>
          <w:rFonts w:ascii="Times New Roman" w:hAnsi="Times New Roman" w:cs="Times New Roman"/>
          <w:color w:val="000000" w:themeColor="text1"/>
          <w:sz w:val="18"/>
          <w:szCs w:val="18"/>
        </w:rPr>
        <w:t>2022</w:t>
      </w:r>
      <w:r w:rsidR="00F41A13" w:rsidRPr="0027586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r.</w:t>
      </w:r>
    </w:p>
    <w:p w14:paraId="24207C24" w14:textId="77777777" w:rsidR="00FB45FE" w:rsidRPr="00275862" w:rsidRDefault="00F41A13" w:rsidP="00F41A13">
      <w:pPr>
        <w:pStyle w:val="Nagwek"/>
        <w:tabs>
          <w:tab w:val="clear" w:pos="4536"/>
          <w:tab w:val="clear" w:pos="9072"/>
          <w:tab w:val="left" w:pos="4980"/>
          <w:tab w:val="center" w:pos="7002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5862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05649BFA" wp14:editId="7FC083A2">
            <wp:simplePos x="0" y="0"/>
            <wp:positionH relativeFrom="column">
              <wp:posOffset>-4445</wp:posOffset>
            </wp:positionH>
            <wp:positionV relativeFrom="paragraph">
              <wp:posOffset>4445</wp:posOffset>
            </wp:positionV>
            <wp:extent cx="969645" cy="1122045"/>
            <wp:effectExtent l="0" t="0" r="1905" b="1905"/>
            <wp:wrapTight wrapText="bothSides">
              <wp:wrapPolygon edited="0">
                <wp:start x="0" y="0"/>
                <wp:lineTo x="0" y="21270"/>
                <wp:lineTo x="21218" y="21270"/>
                <wp:lineTo x="21218" y="0"/>
                <wp:lineTo x="0" y="0"/>
              </wp:wrapPolygon>
            </wp:wrapTight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58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2758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FB45FE" w:rsidRPr="002758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URZĄD GMINY SUWAŁKI</w:t>
      </w:r>
    </w:p>
    <w:p w14:paraId="0D474035" w14:textId="77777777" w:rsidR="00FB45FE" w:rsidRPr="00275862" w:rsidRDefault="00FB45FE" w:rsidP="00FB45F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76DD8A" w14:textId="77777777" w:rsidR="00FB45FE" w:rsidRPr="00513A3E" w:rsidRDefault="00B96F8E" w:rsidP="00FB45FE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A3E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FB45FE" w:rsidRPr="00513A3E">
        <w:rPr>
          <w:rFonts w:ascii="Times New Roman" w:hAnsi="Times New Roman" w:cs="Times New Roman"/>
          <w:sz w:val="24"/>
          <w:szCs w:val="24"/>
        </w:rPr>
        <w:t xml:space="preserve">art. 13, </w:t>
      </w:r>
      <w:r w:rsidRPr="00513A3E">
        <w:rPr>
          <w:rFonts w:ascii="Times New Roman" w:hAnsi="Times New Roman" w:cs="Times New Roman"/>
          <w:sz w:val="24"/>
          <w:szCs w:val="24"/>
        </w:rPr>
        <w:t>art. 35</w:t>
      </w:r>
      <w:r w:rsidR="003B7289" w:rsidRPr="00513A3E">
        <w:rPr>
          <w:rFonts w:ascii="Times New Roman" w:hAnsi="Times New Roman" w:cs="Times New Roman"/>
          <w:sz w:val="24"/>
          <w:szCs w:val="24"/>
        </w:rPr>
        <w:t xml:space="preserve"> i art.37 </w:t>
      </w:r>
      <w:r w:rsidRPr="00513A3E">
        <w:rPr>
          <w:rFonts w:ascii="Times New Roman" w:hAnsi="Times New Roman" w:cs="Times New Roman"/>
          <w:sz w:val="24"/>
          <w:szCs w:val="24"/>
        </w:rPr>
        <w:t>ustawy z dnia 21 sierpnia 1997 r, o gospodarce nieruchomościami (Dz. U.</w:t>
      </w:r>
      <w:r w:rsidR="00435EF5" w:rsidRPr="00513A3E">
        <w:rPr>
          <w:rFonts w:ascii="Times New Roman" w:hAnsi="Times New Roman" w:cs="Times New Roman"/>
          <w:sz w:val="24"/>
          <w:szCs w:val="24"/>
        </w:rPr>
        <w:t xml:space="preserve"> </w:t>
      </w:r>
      <w:r w:rsidRPr="00513A3E">
        <w:rPr>
          <w:rFonts w:ascii="Times New Roman" w:hAnsi="Times New Roman" w:cs="Times New Roman"/>
          <w:sz w:val="24"/>
          <w:szCs w:val="24"/>
        </w:rPr>
        <w:t>z</w:t>
      </w:r>
      <w:r w:rsidR="00435EF5" w:rsidRPr="00513A3E">
        <w:rPr>
          <w:rFonts w:ascii="Times New Roman" w:hAnsi="Times New Roman" w:cs="Times New Roman"/>
          <w:sz w:val="24"/>
          <w:szCs w:val="24"/>
        </w:rPr>
        <w:t xml:space="preserve"> 20</w:t>
      </w:r>
      <w:r w:rsidR="00545D4E">
        <w:rPr>
          <w:rFonts w:ascii="Times New Roman" w:hAnsi="Times New Roman" w:cs="Times New Roman"/>
          <w:sz w:val="24"/>
          <w:szCs w:val="24"/>
        </w:rPr>
        <w:t>21</w:t>
      </w:r>
      <w:r w:rsidR="00435EF5" w:rsidRPr="00513A3E">
        <w:rPr>
          <w:rFonts w:ascii="Times New Roman" w:hAnsi="Times New Roman" w:cs="Times New Roman"/>
          <w:sz w:val="24"/>
          <w:szCs w:val="24"/>
        </w:rPr>
        <w:t xml:space="preserve"> r. </w:t>
      </w:r>
      <w:r w:rsidR="003B7289" w:rsidRPr="00513A3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35EF5" w:rsidRPr="00513A3E">
        <w:rPr>
          <w:rFonts w:ascii="Times New Roman" w:hAnsi="Times New Roman" w:cs="Times New Roman"/>
          <w:sz w:val="24"/>
          <w:szCs w:val="24"/>
        </w:rPr>
        <w:t xml:space="preserve">poz. </w:t>
      </w:r>
      <w:r w:rsidR="003B7289" w:rsidRPr="00513A3E">
        <w:rPr>
          <w:rFonts w:ascii="Times New Roman" w:hAnsi="Times New Roman" w:cs="Times New Roman"/>
          <w:sz w:val="24"/>
          <w:szCs w:val="24"/>
        </w:rPr>
        <w:t>1</w:t>
      </w:r>
      <w:r w:rsidR="00545D4E">
        <w:rPr>
          <w:rFonts w:ascii="Times New Roman" w:hAnsi="Times New Roman" w:cs="Times New Roman"/>
          <w:sz w:val="24"/>
          <w:szCs w:val="24"/>
        </w:rPr>
        <w:t xml:space="preserve">899 </w:t>
      </w:r>
      <w:r w:rsidRPr="00513A3E">
        <w:rPr>
          <w:rFonts w:ascii="Times New Roman" w:hAnsi="Times New Roman" w:cs="Times New Roman"/>
          <w:sz w:val="24"/>
          <w:szCs w:val="24"/>
        </w:rPr>
        <w:t xml:space="preserve">) Wójt Gminy Suwałki </w:t>
      </w:r>
      <w:r w:rsidR="0046070D" w:rsidRPr="00513A3E">
        <w:rPr>
          <w:rFonts w:ascii="Times New Roman" w:hAnsi="Times New Roman" w:cs="Times New Roman"/>
          <w:sz w:val="24"/>
          <w:szCs w:val="24"/>
        </w:rPr>
        <w:t>podaje do publicznej wiadomości:</w:t>
      </w:r>
    </w:p>
    <w:p w14:paraId="481DB805" w14:textId="77777777" w:rsidR="00F7201B" w:rsidRDefault="00F7201B" w:rsidP="00D43AE3">
      <w:pPr>
        <w:pStyle w:val="Nagwek"/>
        <w:tabs>
          <w:tab w:val="clear" w:pos="4536"/>
          <w:tab w:val="clear" w:pos="9072"/>
          <w:tab w:val="left" w:pos="4980"/>
          <w:tab w:val="center" w:pos="70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37297D32" w14:textId="77777777" w:rsidR="00F7201B" w:rsidRPr="00C86CF9" w:rsidRDefault="00F7201B" w:rsidP="00F720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9"/>
        <w:gridCol w:w="990"/>
        <w:gridCol w:w="1595"/>
        <w:gridCol w:w="2008"/>
        <w:gridCol w:w="1425"/>
        <w:gridCol w:w="4453"/>
        <w:gridCol w:w="1725"/>
        <w:gridCol w:w="2402"/>
      </w:tblGrid>
      <w:tr w:rsidR="00F7201B" w14:paraId="2AB35128" w14:textId="77777777" w:rsidTr="00995E6A">
        <w:tc>
          <w:tcPr>
            <w:tcW w:w="15027" w:type="dxa"/>
            <w:gridSpan w:val="8"/>
            <w:shd w:val="clear" w:color="auto" w:fill="E2EFD9" w:themeFill="accent6" w:themeFillTint="33"/>
          </w:tcPr>
          <w:p w14:paraId="4DB4C340" w14:textId="77777777" w:rsidR="00F7201B" w:rsidRPr="0046070D" w:rsidRDefault="00F7201B" w:rsidP="00995E6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WYKAZ NIERUCHOMOŚCI PRZEZNACZONYCH DO SPRZEDAŻY W DRODZE </w:t>
            </w:r>
            <w:r w:rsidRPr="003B72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PRZETARGU NIEOGRANICZONEGO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46070D">
              <w:rPr>
                <w:rFonts w:ascii="Times New Roman" w:hAnsi="Times New Roman" w:cs="Times New Roman"/>
                <w:sz w:val="24"/>
                <w:szCs w:val="24"/>
              </w:rPr>
              <w:t>(art. 37 ust.1)</w:t>
            </w:r>
          </w:p>
        </w:tc>
      </w:tr>
      <w:tr w:rsidR="00F7201B" w14:paraId="36B46E2A" w14:textId="77777777" w:rsidTr="00995E6A">
        <w:tc>
          <w:tcPr>
            <w:tcW w:w="429" w:type="dxa"/>
            <w:shd w:val="clear" w:color="auto" w:fill="E2EFD9" w:themeFill="accent6" w:themeFillTint="33"/>
          </w:tcPr>
          <w:p w14:paraId="3C3D3C61" w14:textId="77777777" w:rsidR="00F7201B" w:rsidRPr="00932F82" w:rsidRDefault="00F7201B" w:rsidP="00995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990" w:type="dxa"/>
            <w:shd w:val="clear" w:color="auto" w:fill="E2EFD9" w:themeFill="accent6" w:themeFillTint="33"/>
          </w:tcPr>
          <w:p w14:paraId="14422EB5" w14:textId="77777777" w:rsidR="00F7201B" w:rsidRPr="00932F82" w:rsidRDefault="00F7201B" w:rsidP="00995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82">
              <w:rPr>
                <w:rFonts w:ascii="Times New Roman" w:hAnsi="Times New Roman" w:cs="Times New Roman"/>
                <w:b/>
                <w:sz w:val="24"/>
                <w:szCs w:val="24"/>
              </w:rPr>
              <w:t>Nr działki</w:t>
            </w:r>
          </w:p>
        </w:tc>
        <w:tc>
          <w:tcPr>
            <w:tcW w:w="1595" w:type="dxa"/>
            <w:shd w:val="clear" w:color="auto" w:fill="E2EFD9" w:themeFill="accent6" w:themeFillTint="33"/>
          </w:tcPr>
          <w:p w14:paraId="4A068495" w14:textId="77777777" w:rsidR="00F7201B" w:rsidRPr="00932F82" w:rsidRDefault="00F7201B" w:rsidP="00995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82">
              <w:rPr>
                <w:rFonts w:ascii="Times New Roman" w:hAnsi="Times New Roman" w:cs="Times New Roman"/>
                <w:b/>
                <w:sz w:val="24"/>
                <w:szCs w:val="24"/>
              </w:rPr>
              <w:t>obręb</w:t>
            </w:r>
          </w:p>
        </w:tc>
        <w:tc>
          <w:tcPr>
            <w:tcW w:w="2008" w:type="dxa"/>
            <w:shd w:val="clear" w:color="auto" w:fill="E2EFD9" w:themeFill="accent6" w:themeFillTint="33"/>
          </w:tcPr>
          <w:p w14:paraId="7719361F" w14:textId="77777777" w:rsidR="00F7201B" w:rsidRPr="00932F82" w:rsidRDefault="00F7201B" w:rsidP="00995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82">
              <w:rPr>
                <w:rFonts w:ascii="Times New Roman" w:hAnsi="Times New Roman" w:cs="Times New Roman"/>
                <w:b/>
                <w:sz w:val="24"/>
                <w:szCs w:val="24"/>
              </w:rPr>
              <w:t>Nr KW</w:t>
            </w:r>
          </w:p>
        </w:tc>
        <w:tc>
          <w:tcPr>
            <w:tcW w:w="1425" w:type="dxa"/>
            <w:shd w:val="clear" w:color="auto" w:fill="E2EFD9" w:themeFill="accent6" w:themeFillTint="33"/>
          </w:tcPr>
          <w:p w14:paraId="1D3E35FB" w14:textId="77777777" w:rsidR="00F7201B" w:rsidRPr="00932F82" w:rsidRDefault="00F7201B" w:rsidP="00995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32F82">
              <w:rPr>
                <w:rFonts w:ascii="Times New Roman" w:hAnsi="Times New Roman" w:cs="Times New Roman"/>
                <w:b/>
                <w:sz w:val="24"/>
                <w:szCs w:val="24"/>
              </w:rPr>
              <w:t>Powierzchnia działki [ha]</w:t>
            </w:r>
          </w:p>
        </w:tc>
        <w:tc>
          <w:tcPr>
            <w:tcW w:w="4453" w:type="dxa"/>
            <w:shd w:val="clear" w:color="auto" w:fill="E2EFD9" w:themeFill="accent6" w:themeFillTint="33"/>
          </w:tcPr>
          <w:p w14:paraId="76A99541" w14:textId="77777777" w:rsidR="00F7201B" w:rsidRPr="00932F82" w:rsidRDefault="00F7201B" w:rsidP="00995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82">
              <w:rPr>
                <w:rFonts w:ascii="Times New Roman" w:hAnsi="Times New Roman" w:cs="Times New Roman"/>
                <w:b/>
                <w:sz w:val="24"/>
                <w:szCs w:val="24"/>
              </w:rPr>
              <w:t>Opis nieruchomości i przeznaczenie w planie zagospodarowania przestrzennego</w:t>
            </w:r>
          </w:p>
        </w:tc>
        <w:tc>
          <w:tcPr>
            <w:tcW w:w="1725" w:type="dxa"/>
            <w:shd w:val="clear" w:color="auto" w:fill="E2EFD9" w:themeFill="accent6" w:themeFillTint="33"/>
          </w:tcPr>
          <w:p w14:paraId="62CFCBDB" w14:textId="77777777" w:rsidR="00F7201B" w:rsidRDefault="00F7201B" w:rsidP="00995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82">
              <w:rPr>
                <w:rFonts w:ascii="Times New Roman" w:hAnsi="Times New Roman" w:cs="Times New Roman"/>
                <w:b/>
                <w:sz w:val="24"/>
                <w:szCs w:val="24"/>
              </w:rPr>
              <w:t>Cena netto nieruchomości</w:t>
            </w:r>
          </w:p>
          <w:p w14:paraId="58CC8A77" w14:textId="77777777" w:rsidR="00F7201B" w:rsidRPr="00932F82" w:rsidRDefault="00F7201B" w:rsidP="00995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2402" w:type="dxa"/>
            <w:shd w:val="clear" w:color="auto" w:fill="E2EFD9" w:themeFill="accent6" w:themeFillTint="33"/>
          </w:tcPr>
          <w:p w14:paraId="39E8E560" w14:textId="77777777" w:rsidR="00F7201B" w:rsidRPr="00932F82" w:rsidRDefault="00F7201B" w:rsidP="00995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82">
              <w:rPr>
                <w:rFonts w:ascii="Times New Roman" w:hAnsi="Times New Roman" w:cs="Times New Roman"/>
                <w:b/>
                <w:sz w:val="24"/>
                <w:szCs w:val="24"/>
              </w:rPr>
              <w:t>Forma zbycia</w:t>
            </w:r>
          </w:p>
        </w:tc>
      </w:tr>
      <w:tr w:rsidR="00F7201B" w:rsidRPr="00932F82" w14:paraId="7B7F1E7B" w14:textId="77777777" w:rsidTr="00995E6A">
        <w:trPr>
          <w:trHeight w:val="1832"/>
        </w:trPr>
        <w:tc>
          <w:tcPr>
            <w:tcW w:w="429" w:type="dxa"/>
          </w:tcPr>
          <w:p w14:paraId="42F31660" w14:textId="77777777" w:rsidR="00F7201B" w:rsidRPr="00275862" w:rsidRDefault="00F7201B" w:rsidP="00995E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02AE47E8" w14:textId="77777777" w:rsidR="00F7201B" w:rsidRPr="00275862" w:rsidRDefault="00F7201B" w:rsidP="00995E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58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415/7</w:t>
            </w:r>
          </w:p>
        </w:tc>
        <w:tc>
          <w:tcPr>
            <w:tcW w:w="1595" w:type="dxa"/>
          </w:tcPr>
          <w:p w14:paraId="73093963" w14:textId="77777777" w:rsidR="00F7201B" w:rsidRPr="00275862" w:rsidRDefault="00F7201B" w:rsidP="00995E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5862">
              <w:rPr>
                <w:rFonts w:ascii="Times New Roman" w:hAnsi="Times New Roman" w:cs="Times New Roman"/>
                <w:color w:val="000000" w:themeColor="text1"/>
              </w:rPr>
              <w:t xml:space="preserve">0018          </w:t>
            </w:r>
            <w:r w:rsidRPr="002758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Lipniak</w:t>
            </w:r>
          </w:p>
        </w:tc>
        <w:tc>
          <w:tcPr>
            <w:tcW w:w="2008" w:type="dxa"/>
          </w:tcPr>
          <w:p w14:paraId="43EB8E51" w14:textId="77777777" w:rsidR="00F7201B" w:rsidRPr="00275862" w:rsidRDefault="00F7201B" w:rsidP="00995E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SU1S/00033751/2</w:t>
            </w:r>
          </w:p>
        </w:tc>
        <w:tc>
          <w:tcPr>
            <w:tcW w:w="1425" w:type="dxa"/>
          </w:tcPr>
          <w:p w14:paraId="3EBF93DD" w14:textId="77777777" w:rsidR="00F7201B" w:rsidRPr="00275862" w:rsidRDefault="00F7201B" w:rsidP="00F720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0,1729</w:t>
            </w:r>
          </w:p>
        </w:tc>
        <w:tc>
          <w:tcPr>
            <w:tcW w:w="4453" w:type="dxa"/>
          </w:tcPr>
          <w:p w14:paraId="56986857" w14:textId="77777777" w:rsidR="00F7201B" w:rsidRPr="00275862" w:rsidRDefault="00F7201B" w:rsidP="00995E6A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58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Nieruchomość gruntowa niezabudowana położona przy drodze powiatowej o nawierzchni asfaltowej, w odległości ok. 10 km od Suwałk, poza obszarem zabudowy wsi, w sąsiedztwie gruntów rolnych.</w:t>
            </w:r>
          </w:p>
          <w:p w14:paraId="2FE7B064" w14:textId="77777777" w:rsidR="00F7201B" w:rsidRPr="00275862" w:rsidRDefault="00F7201B" w:rsidP="00995E6A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58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 planie zagospodarowania przestrzennego działka położona jest na terenie o funkcji </w:t>
            </w:r>
            <w:proofErr w:type="spellStart"/>
            <w:r w:rsidRPr="002758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ozn</w:t>
            </w:r>
            <w:proofErr w:type="spellEnd"/>
            <w:r w:rsidRPr="002758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symbolem 4MN - tereny zabudowy mieszkaniowej jednorodzinnej</w:t>
            </w:r>
            <w:r w:rsidR="00A54500" w:rsidRPr="002758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dopuszcza się zamianę lub uzupełnienie funkcji mieszkalnej usługami nieuciążliwymi</w:t>
            </w:r>
            <w:r w:rsidRPr="002758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B72B18" w:rsidRPr="002758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Możliwość dostępu do sieci elektroenergetycznej i wodociągowej oraz możliwość dostępu do linii telekomunikacyjnej. Kształt działki zbliżony do prostokąta. Teren jest niezagospodarowany, porośnięty trawą</w:t>
            </w:r>
          </w:p>
        </w:tc>
        <w:tc>
          <w:tcPr>
            <w:tcW w:w="1725" w:type="dxa"/>
          </w:tcPr>
          <w:p w14:paraId="6666BD8C" w14:textId="77777777" w:rsidR="00F7201B" w:rsidRPr="00275862" w:rsidRDefault="00F7201B" w:rsidP="00995E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70 000,00</w:t>
            </w:r>
          </w:p>
        </w:tc>
        <w:tc>
          <w:tcPr>
            <w:tcW w:w="2402" w:type="dxa"/>
            <w:vMerge w:val="restart"/>
          </w:tcPr>
          <w:p w14:paraId="0E82A02B" w14:textId="77777777" w:rsidR="00F7201B" w:rsidRPr="00275862" w:rsidRDefault="00F7201B" w:rsidP="00995E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4475236" w14:textId="77777777" w:rsidR="00F7201B" w:rsidRPr="00275862" w:rsidRDefault="00F7201B" w:rsidP="00995E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F29AB1E" w14:textId="77777777" w:rsidR="00F7201B" w:rsidRPr="00275862" w:rsidRDefault="00F7201B" w:rsidP="00995E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C96A55E" w14:textId="77777777" w:rsidR="00F7201B" w:rsidRPr="00275862" w:rsidRDefault="00F7201B" w:rsidP="00995E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A52F093" w14:textId="77777777" w:rsidR="00F7201B" w:rsidRPr="00275862" w:rsidRDefault="00F7201B" w:rsidP="00995E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AE400C2" w14:textId="77777777" w:rsidR="00F7201B" w:rsidRPr="00275862" w:rsidRDefault="00F7201B" w:rsidP="00995E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7FDE5A6" w14:textId="77777777" w:rsidR="00F7201B" w:rsidRPr="00275862" w:rsidRDefault="00F7201B" w:rsidP="00995E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25FDC9C" w14:textId="77777777" w:rsidR="00F7201B" w:rsidRPr="00275862" w:rsidRDefault="00F7201B" w:rsidP="00995E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29F1534" w14:textId="77777777" w:rsidR="00F7201B" w:rsidRPr="00275862" w:rsidRDefault="00F7201B" w:rsidP="00995E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BFD3F23" w14:textId="77777777" w:rsidR="00F7201B" w:rsidRPr="00275862" w:rsidRDefault="00F7201B" w:rsidP="00995E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D6BF3FC" w14:textId="77777777" w:rsidR="00F7201B" w:rsidRPr="00275862" w:rsidRDefault="00F7201B" w:rsidP="00995E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17BF552" w14:textId="77777777" w:rsidR="00F7201B" w:rsidRPr="00275862" w:rsidRDefault="00F7201B" w:rsidP="00995E6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5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Uchwała Nr XXXI/279/13 Rady Gminy Suwałki z dnia 24 czerwca 2013 r. w sprawie wyrażenia zgody na zbycie w drodze przetargu nieograniczonego nieruchomości gruntowych położonych w obrębie </w:t>
            </w:r>
            <w:r w:rsidRPr="00275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ewidencyjnym Lipniak</w:t>
            </w:r>
            <w:r w:rsidRPr="002758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F7201B" w:rsidRPr="00932F82" w14:paraId="5EE83772" w14:textId="77777777" w:rsidTr="00995E6A">
        <w:trPr>
          <w:trHeight w:val="695"/>
        </w:trPr>
        <w:tc>
          <w:tcPr>
            <w:tcW w:w="429" w:type="dxa"/>
          </w:tcPr>
          <w:p w14:paraId="56C150C4" w14:textId="77777777" w:rsidR="00F7201B" w:rsidRPr="003B7289" w:rsidRDefault="00F7201B" w:rsidP="0099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0" w:type="dxa"/>
          </w:tcPr>
          <w:p w14:paraId="51444140" w14:textId="77777777" w:rsidR="00F7201B" w:rsidRPr="00275862" w:rsidRDefault="00F7201B" w:rsidP="00F720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58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415/16</w:t>
            </w:r>
          </w:p>
        </w:tc>
        <w:tc>
          <w:tcPr>
            <w:tcW w:w="1595" w:type="dxa"/>
          </w:tcPr>
          <w:p w14:paraId="42880A1E" w14:textId="77777777" w:rsidR="00F7201B" w:rsidRPr="00275862" w:rsidRDefault="00F7201B" w:rsidP="00995E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5862">
              <w:rPr>
                <w:rFonts w:ascii="Times New Roman" w:hAnsi="Times New Roman" w:cs="Times New Roman"/>
                <w:color w:val="000000" w:themeColor="text1"/>
              </w:rPr>
              <w:t xml:space="preserve">0018          </w:t>
            </w:r>
            <w:r w:rsidRPr="002758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Lipniak</w:t>
            </w:r>
          </w:p>
        </w:tc>
        <w:tc>
          <w:tcPr>
            <w:tcW w:w="2008" w:type="dxa"/>
          </w:tcPr>
          <w:p w14:paraId="77F900E1" w14:textId="77777777" w:rsidR="00F7201B" w:rsidRPr="00275862" w:rsidRDefault="00F7201B" w:rsidP="00995E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SU1S/00033751/2</w:t>
            </w:r>
          </w:p>
        </w:tc>
        <w:tc>
          <w:tcPr>
            <w:tcW w:w="1425" w:type="dxa"/>
          </w:tcPr>
          <w:p w14:paraId="26A3ABBB" w14:textId="77777777" w:rsidR="00F7201B" w:rsidRPr="00275862" w:rsidRDefault="00F7201B" w:rsidP="00F720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0,1558</w:t>
            </w:r>
          </w:p>
        </w:tc>
        <w:tc>
          <w:tcPr>
            <w:tcW w:w="4453" w:type="dxa"/>
          </w:tcPr>
          <w:p w14:paraId="6FFFDF4D" w14:textId="77777777" w:rsidR="00F7201B" w:rsidRPr="00275862" w:rsidRDefault="00F7201B" w:rsidP="00995E6A">
            <w:pPr>
              <w:pStyle w:val="Akapitzlist"/>
              <w:ind w:left="-11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58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Nieruchomość gruntowa niezabudowana położona przy drodze powiatowej o nawierzchni asfaltowej, w odległości ok. 10 km od Suwałk, poza obszarem zabudowy wsi, w sąsiedztwie gruntów rolnych.</w:t>
            </w:r>
          </w:p>
          <w:p w14:paraId="462679EB" w14:textId="77777777" w:rsidR="00F7201B" w:rsidRPr="00275862" w:rsidRDefault="00F7201B" w:rsidP="00995E6A">
            <w:pPr>
              <w:pStyle w:val="Akapitzlist"/>
              <w:ind w:left="-118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</w:rPr>
            </w:pPr>
            <w:r w:rsidRPr="002758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 planie zagospodarowania przestrzennego działka położona jest na terenie o funkcji </w:t>
            </w:r>
            <w:proofErr w:type="spellStart"/>
            <w:r w:rsidRPr="002758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ozn</w:t>
            </w:r>
            <w:proofErr w:type="spellEnd"/>
            <w:r w:rsidRPr="002758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symbolem </w:t>
            </w:r>
            <w:r w:rsidR="009652D2" w:rsidRPr="002758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2758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MN - </w:t>
            </w:r>
            <w:r w:rsidR="00447F89" w:rsidRPr="002758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tereny zabudowy mieszkaniowej jednorodzinnej, dopuszcza się zamianę lub uzupełnienie funkcji mieszkalnej usługami nieuciążliwymi. </w:t>
            </w:r>
            <w:r w:rsidR="00B72B18" w:rsidRPr="002758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Możliwość dostępu do sieci elektroenergetycznej i wodociągowej oraz możliwość dostępu do linii telekomunikacyjnej. Kształt działki zbliżony do trapezu. Teren jest niezagospodarowany, porośnięty trawą</w:t>
            </w:r>
            <w:r w:rsidR="00447F89" w:rsidRPr="002758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4D200A68" w14:textId="77777777" w:rsidR="00F7201B" w:rsidRPr="00275862" w:rsidRDefault="00F7201B" w:rsidP="00995E6A">
            <w:pPr>
              <w:pStyle w:val="Akapitzlist"/>
              <w:ind w:left="-118"/>
              <w:jc w:val="both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</w:p>
          <w:p w14:paraId="613C100C" w14:textId="77777777" w:rsidR="00F7201B" w:rsidRPr="00275862" w:rsidRDefault="00F7201B" w:rsidP="00995E6A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25" w:type="dxa"/>
          </w:tcPr>
          <w:p w14:paraId="58407526" w14:textId="77777777" w:rsidR="00F7201B" w:rsidRPr="00275862" w:rsidRDefault="00F7201B" w:rsidP="00995E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69 000,00</w:t>
            </w:r>
          </w:p>
        </w:tc>
        <w:tc>
          <w:tcPr>
            <w:tcW w:w="2402" w:type="dxa"/>
            <w:vMerge/>
          </w:tcPr>
          <w:p w14:paraId="3BDB1603" w14:textId="77777777" w:rsidR="00F7201B" w:rsidRPr="00275862" w:rsidRDefault="00F7201B" w:rsidP="00995E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52D2" w:rsidRPr="00932F82" w14:paraId="4D2B9671" w14:textId="77777777" w:rsidTr="00995E6A">
        <w:trPr>
          <w:trHeight w:val="2074"/>
        </w:trPr>
        <w:tc>
          <w:tcPr>
            <w:tcW w:w="429" w:type="dxa"/>
          </w:tcPr>
          <w:p w14:paraId="0DA3FFC3" w14:textId="77777777" w:rsidR="009652D2" w:rsidRPr="003B7289" w:rsidRDefault="009652D2" w:rsidP="0099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90" w:type="dxa"/>
          </w:tcPr>
          <w:p w14:paraId="67978C2B" w14:textId="77777777" w:rsidR="009652D2" w:rsidRPr="00275862" w:rsidRDefault="009652D2" w:rsidP="00995E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58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415/18</w:t>
            </w:r>
          </w:p>
        </w:tc>
        <w:tc>
          <w:tcPr>
            <w:tcW w:w="1595" w:type="dxa"/>
          </w:tcPr>
          <w:p w14:paraId="3BE92D88" w14:textId="77777777" w:rsidR="009652D2" w:rsidRPr="00275862" w:rsidRDefault="009652D2" w:rsidP="00995E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5862">
              <w:rPr>
                <w:rFonts w:ascii="Times New Roman" w:hAnsi="Times New Roman" w:cs="Times New Roman"/>
                <w:color w:val="000000" w:themeColor="text1"/>
              </w:rPr>
              <w:t xml:space="preserve">0018          </w:t>
            </w:r>
            <w:r w:rsidRPr="002758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Lipniak</w:t>
            </w:r>
          </w:p>
        </w:tc>
        <w:tc>
          <w:tcPr>
            <w:tcW w:w="2008" w:type="dxa"/>
          </w:tcPr>
          <w:p w14:paraId="7B84810F" w14:textId="77777777" w:rsidR="009652D2" w:rsidRPr="00275862" w:rsidRDefault="009652D2" w:rsidP="00995E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SU1S/00033751/2</w:t>
            </w:r>
          </w:p>
        </w:tc>
        <w:tc>
          <w:tcPr>
            <w:tcW w:w="1425" w:type="dxa"/>
          </w:tcPr>
          <w:p w14:paraId="255827AB" w14:textId="77777777" w:rsidR="009652D2" w:rsidRPr="00275862" w:rsidRDefault="009652D2" w:rsidP="00F720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8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0,1869</w:t>
            </w:r>
          </w:p>
        </w:tc>
        <w:tc>
          <w:tcPr>
            <w:tcW w:w="4453" w:type="dxa"/>
            <w:vMerge w:val="restart"/>
          </w:tcPr>
          <w:p w14:paraId="41F6917B" w14:textId="77777777" w:rsidR="00A54500" w:rsidRPr="00275862" w:rsidRDefault="00A54500" w:rsidP="00A54500">
            <w:pPr>
              <w:ind w:right="16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B37E4AA" w14:textId="77777777" w:rsidR="00A54500" w:rsidRPr="00275862" w:rsidRDefault="00A54500" w:rsidP="00A54500">
            <w:pPr>
              <w:ind w:right="16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A4C2474" w14:textId="77777777" w:rsidR="00A54500" w:rsidRPr="00275862" w:rsidRDefault="00A54500" w:rsidP="00A54500">
            <w:pPr>
              <w:ind w:right="16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61F2FAF" w14:textId="77777777" w:rsidR="00A54500" w:rsidRPr="00275862" w:rsidRDefault="00A54500" w:rsidP="00A54500">
            <w:pPr>
              <w:ind w:right="16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5753999" w14:textId="77777777" w:rsidR="00A54500" w:rsidRPr="00275862" w:rsidRDefault="00A54500" w:rsidP="00A54500">
            <w:pPr>
              <w:ind w:right="16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D2F6126" w14:textId="77777777" w:rsidR="00A54500" w:rsidRPr="00275862" w:rsidRDefault="00A54500" w:rsidP="00A54500">
            <w:pPr>
              <w:ind w:right="16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DAEBBFB" w14:textId="77777777" w:rsidR="009652D2" w:rsidRPr="00275862" w:rsidRDefault="009652D2" w:rsidP="00A54500">
            <w:pPr>
              <w:ind w:right="16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58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Nieruchomoś</w:t>
            </w:r>
            <w:r w:rsidR="00B72B18" w:rsidRPr="002758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ci </w:t>
            </w:r>
            <w:r w:rsidRPr="002758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gruntowe niezabudowane położone przy drodze powiatowej o nawierzchni asfaltowej, w odległości ok. 10 km od Suwałk, poza obszarem zabudowy wsi, w sąsiedztwie gruntów rolnych.</w:t>
            </w:r>
          </w:p>
          <w:p w14:paraId="736E6977" w14:textId="77777777" w:rsidR="00B72B18" w:rsidRPr="00275862" w:rsidRDefault="009652D2" w:rsidP="00A54500">
            <w:pPr>
              <w:pStyle w:val="Akapitzlist"/>
              <w:ind w:left="0" w:right="160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</w:rPr>
            </w:pPr>
            <w:r w:rsidRPr="002758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 planie zagospodarowania przestrzennego działki położone są na terenie o funkcji </w:t>
            </w:r>
            <w:proofErr w:type="spellStart"/>
            <w:r w:rsidRPr="002758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ozn</w:t>
            </w:r>
            <w:proofErr w:type="spellEnd"/>
            <w:r w:rsidRPr="002758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symbolem 6MN – </w:t>
            </w:r>
            <w:r w:rsidR="00447F89" w:rsidRPr="002758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tereny zabudowy mieszkaniowej jednorodzinnej, dopuszcza się zamianę lub uzupełnienie funkcji mieszkalnej usługami nieuciążliwymi. </w:t>
            </w:r>
            <w:r w:rsidR="00B72B18" w:rsidRPr="002758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Możliwość dostępu do sieci elektroenergetycznej i wodociągowej oraz możliwość dostępu do linii telekomunikacyjnej. Kształt działek zbliżony do trapezu. Teren jest niezagospodarowany, porośnięty trawą. Przez część działek przechodzi napowietrzna linia nn.</w:t>
            </w:r>
          </w:p>
          <w:p w14:paraId="6DD0FFE6" w14:textId="77777777" w:rsidR="009652D2" w:rsidRPr="00275862" w:rsidRDefault="009652D2" w:rsidP="00995E6A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25" w:type="dxa"/>
          </w:tcPr>
          <w:p w14:paraId="05F61C8F" w14:textId="77777777" w:rsidR="009652D2" w:rsidRPr="00275862" w:rsidRDefault="009652D2" w:rsidP="00995E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75 000,00</w:t>
            </w:r>
          </w:p>
        </w:tc>
        <w:tc>
          <w:tcPr>
            <w:tcW w:w="2402" w:type="dxa"/>
            <w:vMerge/>
          </w:tcPr>
          <w:p w14:paraId="4DB2531E" w14:textId="77777777" w:rsidR="009652D2" w:rsidRPr="003B7289" w:rsidRDefault="009652D2" w:rsidP="00995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52D2" w:rsidRPr="00932F82" w14:paraId="0139F004" w14:textId="77777777" w:rsidTr="00995E6A">
        <w:trPr>
          <w:trHeight w:val="2074"/>
        </w:trPr>
        <w:tc>
          <w:tcPr>
            <w:tcW w:w="429" w:type="dxa"/>
          </w:tcPr>
          <w:p w14:paraId="1C374026" w14:textId="77777777" w:rsidR="009652D2" w:rsidRPr="003B7289" w:rsidRDefault="009652D2" w:rsidP="0099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14:paraId="0EA4B625" w14:textId="77777777" w:rsidR="009652D2" w:rsidRPr="00275862" w:rsidRDefault="009652D2" w:rsidP="00995E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586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415/19</w:t>
            </w:r>
          </w:p>
        </w:tc>
        <w:tc>
          <w:tcPr>
            <w:tcW w:w="1595" w:type="dxa"/>
          </w:tcPr>
          <w:p w14:paraId="5FEC4FBA" w14:textId="77777777" w:rsidR="009652D2" w:rsidRPr="00275862" w:rsidRDefault="009652D2" w:rsidP="00995E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5862">
              <w:rPr>
                <w:rFonts w:ascii="Times New Roman" w:hAnsi="Times New Roman" w:cs="Times New Roman"/>
                <w:color w:val="000000" w:themeColor="text1"/>
              </w:rPr>
              <w:t xml:space="preserve">0018          </w:t>
            </w:r>
            <w:r w:rsidRPr="002758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Lipniak</w:t>
            </w:r>
          </w:p>
        </w:tc>
        <w:tc>
          <w:tcPr>
            <w:tcW w:w="2008" w:type="dxa"/>
          </w:tcPr>
          <w:p w14:paraId="07BB8BCF" w14:textId="77777777" w:rsidR="009652D2" w:rsidRPr="00275862" w:rsidRDefault="009652D2" w:rsidP="00995E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SU1S/00033751/2</w:t>
            </w:r>
          </w:p>
        </w:tc>
        <w:tc>
          <w:tcPr>
            <w:tcW w:w="1425" w:type="dxa"/>
          </w:tcPr>
          <w:p w14:paraId="40EF33A1" w14:textId="77777777" w:rsidR="009652D2" w:rsidRPr="00275862" w:rsidRDefault="009652D2" w:rsidP="00F720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8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0,1749</w:t>
            </w:r>
          </w:p>
        </w:tc>
        <w:tc>
          <w:tcPr>
            <w:tcW w:w="4453" w:type="dxa"/>
            <w:vMerge/>
          </w:tcPr>
          <w:p w14:paraId="339C8081" w14:textId="77777777" w:rsidR="009652D2" w:rsidRPr="00275862" w:rsidRDefault="009652D2" w:rsidP="00995E6A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25" w:type="dxa"/>
          </w:tcPr>
          <w:p w14:paraId="15FAA69D" w14:textId="77777777" w:rsidR="009652D2" w:rsidRPr="00275862" w:rsidRDefault="009652D2" w:rsidP="00995E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70 000,00</w:t>
            </w:r>
          </w:p>
        </w:tc>
        <w:tc>
          <w:tcPr>
            <w:tcW w:w="2402" w:type="dxa"/>
            <w:vMerge/>
          </w:tcPr>
          <w:p w14:paraId="4BD68F07" w14:textId="77777777" w:rsidR="009652D2" w:rsidRPr="003B7289" w:rsidRDefault="009652D2" w:rsidP="00995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52D2" w:rsidRPr="00932F82" w14:paraId="70B28491" w14:textId="77777777" w:rsidTr="00995E6A">
        <w:trPr>
          <w:trHeight w:val="1916"/>
        </w:trPr>
        <w:tc>
          <w:tcPr>
            <w:tcW w:w="429" w:type="dxa"/>
          </w:tcPr>
          <w:p w14:paraId="26B96F38" w14:textId="77777777" w:rsidR="009652D2" w:rsidRPr="003B7289" w:rsidRDefault="009652D2" w:rsidP="0099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0" w:type="dxa"/>
          </w:tcPr>
          <w:p w14:paraId="32EC7FCD" w14:textId="77777777" w:rsidR="009652D2" w:rsidRPr="00275862" w:rsidRDefault="009652D2" w:rsidP="00F720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586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415/20</w:t>
            </w:r>
          </w:p>
        </w:tc>
        <w:tc>
          <w:tcPr>
            <w:tcW w:w="1595" w:type="dxa"/>
          </w:tcPr>
          <w:p w14:paraId="35EFB341" w14:textId="77777777" w:rsidR="009652D2" w:rsidRPr="00275862" w:rsidRDefault="009652D2" w:rsidP="00995E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5862">
              <w:rPr>
                <w:rFonts w:ascii="Times New Roman" w:hAnsi="Times New Roman" w:cs="Times New Roman"/>
                <w:color w:val="000000" w:themeColor="text1"/>
              </w:rPr>
              <w:t xml:space="preserve">0018          </w:t>
            </w:r>
            <w:r w:rsidRPr="002758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Lipniak</w:t>
            </w:r>
          </w:p>
        </w:tc>
        <w:tc>
          <w:tcPr>
            <w:tcW w:w="2008" w:type="dxa"/>
          </w:tcPr>
          <w:p w14:paraId="47BC834A" w14:textId="77777777" w:rsidR="009652D2" w:rsidRPr="00275862" w:rsidRDefault="009652D2" w:rsidP="00995E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SU1S/00033751/2</w:t>
            </w:r>
          </w:p>
        </w:tc>
        <w:tc>
          <w:tcPr>
            <w:tcW w:w="1425" w:type="dxa"/>
          </w:tcPr>
          <w:p w14:paraId="260598BC" w14:textId="77777777" w:rsidR="009652D2" w:rsidRPr="00275862" w:rsidRDefault="009652D2" w:rsidP="00F720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8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0,2076</w:t>
            </w:r>
          </w:p>
        </w:tc>
        <w:tc>
          <w:tcPr>
            <w:tcW w:w="4453" w:type="dxa"/>
            <w:vMerge/>
          </w:tcPr>
          <w:p w14:paraId="3FC11886" w14:textId="77777777" w:rsidR="009652D2" w:rsidRPr="00275862" w:rsidRDefault="009652D2" w:rsidP="00995E6A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25" w:type="dxa"/>
          </w:tcPr>
          <w:p w14:paraId="6DD6974E" w14:textId="77777777" w:rsidR="009652D2" w:rsidRPr="00275862" w:rsidRDefault="009652D2" w:rsidP="00995E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84 000,00</w:t>
            </w:r>
          </w:p>
        </w:tc>
        <w:tc>
          <w:tcPr>
            <w:tcW w:w="2402" w:type="dxa"/>
            <w:vMerge/>
          </w:tcPr>
          <w:p w14:paraId="5C77883D" w14:textId="77777777" w:rsidR="009652D2" w:rsidRPr="003B7289" w:rsidRDefault="009652D2" w:rsidP="00995E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B94AAE9" w14:textId="77777777" w:rsidR="00B96F8E" w:rsidRPr="00513A3E" w:rsidRDefault="00B96F8E" w:rsidP="00B96F8E">
      <w:pPr>
        <w:rPr>
          <w:rFonts w:ascii="Times New Roman" w:hAnsi="Times New Roman" w:cs="Times New Roman"/>
          <w:sz w:val="24"/>
          <w:szCs w:val="24"/>
        </w:rPr>
      </w:pPr>
      <w:r w:rsidRPr="00513A3E">
        <w:rPr>
          <w:rFonts w:ascii="Times New Roman" w:hAnsi="Times New Roman" w:cs="Times New Roman"/>
          <w:sz w:val="24"/>
          <w:szCs w:val="24"/>
        </w:rPr>
        <w:t>Uwagi:</w:t>
      </w:r>
    </w:p>
    <w:p w14:paraId="616D666A" w14:textId="77777777" w:rsidR="00B96F8E" w:rsidRPr="00513A3E" w:rsidRDefault="00B96F8E" w:rsidP="0046070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3A3E">
        <w:rPr>
          <w:rFonts w:ascii="Times New Roman" w:hAnsi="Times New Roman" w:cs="Times New Roman"/>
          <w:sz w:val="24"/>
          <w:szCs w:val="24"/>
        </w:rPr>
        <w:t>Nieruchomości są wolne od jakichkolwiek obciążeń i praw osób trzecich</w:t>
      </w:r>
      <w:r w:rsidR="002E0591" w:rsidRPr="00513A3E">
        <w:rPr>
          <w:rFonts w:ascii="Times New Roman" w:hAnsi="Times New Roman" w:cs="Times New Roman"/>
          <w:sz w:val="24"/>
          <w:szCs w:val="24"/>
        </w:rPr>
        <w:t>.</w:t>
      </w:r>
    </w:p>
    <w:p w14:paraId="3CFECC12" w14:textId="77777777" w:rsidR="00116DB4" w:rsidRPr="00275862" w:rsidRDefault="00B96F8E" w:rsidP="0046070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A3E">
        <w:rPr>
          <w:rFonts w:ascii="Times New Roman" w:hAnsi="Times New Roman" w:cs="Times New Roman"/>
          <w:sz w:val="24"/>
          <w:szCs w:val="24"/>
        </w:rPr>
        <w:t>Poprzedni właściciele zbywanych nieruchomości, pozbawieni prawa własności tych nieruchomości przed  dniem 5 grudnia 1990 roku albo ich spadkobiercom mają pierwszeństwo w ich nabyciu, jeżeli złożą wniosek o nabycie w terminie 6 tygodni, liczą</w:t>
      </w:r>
      <w:r w:rsidR="00D04666" w:rsidRPr="00513A3E">
        <w:rPr>
          <w:rFonts w:ascii="Times New Roman" w:hAnsi="Times New Roman" w:cs="Times New Roman"/>
          <w:sz w:val="24"/>
          <w:szCs w:val="24"/>
        </w:rPr>
        <w:t xml:space="preserve">c od dnia wywieszenia </w:t>
      </w:r>
      <w:r w:rsidR="00D04666" w:rsidRPr="002758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wykazu </w:t>
      </w:r>
      <w:r w:rsidR="00116DB4" w:rsidRPr="0027586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6070D" w:rsidRPr="002758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dnia </w:t>
      </w:r>
      <w:r w:rsidR="00D43AE3" w:rsidRPr="00275862">
        <w:rPr>
          <w:rFonts w:ascii="Times New Roman" w:hAnsi="Times New Roman" w:cs="Times New Roman"/>
          <w:color w:val="000000" w:themeColor="text1"/>
          <w:sz w:val="24"/>
          <w:szCs w:val="24"/>
        </w:rPr>
        <w:t>13 maja 2022</w:t>
      </w:r>
      <w:r w:rsidR="0046070D" w:rsidRPr="002758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</w:t>
      </w:r>
      <w:r w:rsidR="00116DB4" w:rsidRPr="002758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dnia </w:t>
      </w:r>
      <w:r w:rsidR="00D43AE3" w:rsidRPr="00275862">
        <w:rPr>
          <w:rFonts w:ascii="Times New Roman" w:hAnsi="Times New Roman" w:cs="Times New Roman"/>
          <w:color w:val="000000" w:themeColor="text1"/>
          <w:sz w:val="24"/>
          <w:szCs w:val="24"/>
        </w:rPr>
        <w:t>17 czerwca</w:t>
      </w:r>
      <w:r w:rsidR="003B7289" w:rsidRPr="002758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D43AE3" w:rsidRPr="0027586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16DB4" w:rsidRPr="002758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r.) </w:t>
      </w:r>
      <w:r w:rsidRPr="00275862">
        <w:rPr>
          <w:rFonts w:ascii="Times New Roman" w:hAnsi="Times New Roman" w:cs="Times New Roman"/>
          <w:color w:val="000000" w:themeColor="text1"/>
          <w:sz w:val="24"/>
          <w:szCs w:val="24"/>
        </w:rPr>
        <w:t>i złożą oświadczenie, że wyrażają zgodę na cenę określoną w wykazie</w:t>
      </w:r>
      <w:r w:rsidR="003B7289" w:rsidRPr="0027586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16DB4" w:rsidRPr="002758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5E7A708" w14:textId="77777777" w:rsidR="00B96F8E" w:rsidRPr="00275862" w:rsidRDefault="00B96F8E" w:rsidP="0046070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58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Wykaz </w:t>
      </w:r>
      <w:r w:rsidR="002E0591" w:rsidRPr="002758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niniejszy zostaje </w:t>
      </w:r>
      <w:r w:rsidRPr="00275862">
        <w:rPr>
          <w:rFonts w:ascii="Times New Roman" w:hAnsi="Times New Roman" w:cs="Times New Roman"/>
          <w:color w:val="000000" w:themeColor="text1"/>
          <w:sz w:val="24"/>
          <w:szCs w:val="24"/>
        </w:rPr>
        <w:t>wywiesz</w:t>
      </w:r>
      <w:r w:rsidR="002E0591" w:rsidRPr="00275862">
        <w:rPr>
          <w:rFonts w:ascii="Times New Roman" w:hAnsi="Times New Roman" w:cs="Times New Roman"/>
          <w:color w:val="000000" w:themeColor="text1"/>
          <w:sz w:val="24"/>
          <w:szCs w:val="24"/>
        </w:rPr>
        <w:t>ony na tablicy ogłoszeń</w:t>
      </w:r>
      <w:r w:rsidRPr="002758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Urzędu Gminy Suwałki</w:t>
      </w:r>
      <w:r w:rsidR="002E0591" w:rsidRPr="002758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</w:t>
      </w:r>
      <w:r w:rsidRPr="002758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okres 21 dni</w:t>
      </w:r>
      <w:r w:rsidR="00800843" w:rsidRPr="00275862">
        <w:rPr>
          <w:rFonts w:ascii="Times New Roman" w:hAnsi="Times New Roman" w:cs="Times New Roman"/>
          <w:color w:val="000000" w:themeColor="text1"/>
          <w:sz w:val="24"/>
          <w:szCs w:val="24"/>
        </w:rPr>
        <w:t>, tj.</w:t>
      </w:r>
      <w:r w:rsidR="0091395D" w:rsidRPr="002758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dnia </w:t>
      </w:r>
      <w:r w:rsidR="00D43AE3" w:rsidRPr="00275862">
        <w:rPr>
          <w:rFonts w:ascii="Times New Roman" w:hAnsi="Times New Roman" w:cs="Times New Roman"/>
          <w:color w:val="000000" w:themeColor="text1"/>
          <w:sz w:val="24"/>
          <w:szCs w:val="24"/>
        </w:rPr>
        <w:t>13 maja</w:t>
      </w:r>
      <w:r w:rsidR="004564A7" w:rsidRPr="002758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D43AE3" w:rsidRPr="0027586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564A7" w:rsidRPr="002758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4666" w:rsidRPr="002758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dnia </w:t>
      </w:r>
      <w:r w:rsidR="00D43AE3" w:rsidRPr="00275862">
        <w:rPr>
          <w:rFonts w:ascii="Times New Roman" w:hAnsi="Times New Roman" w:cs="Times New Roman"/>
          <w:color w:val="000000" w:themeColor="text1"/>
          <w:sz w:val="24"/>
          <w:szCs w:val="24"/>
        </w:rPr>
        <w:t>03 czerwca</w:t>
      </w:r>
      <w:r w:rsidR="00D04666" w:rsidRPr="002758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395D" w:rsidRPr="00275862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D43AE3" w:rsidRPr="0027586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1395D" w:rsidRPr="002758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</w:t>
      </w:r>
      <w:r w:rsidR="00D04666" w:rsidRPr="002758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E0591" w:rsidRPr="002758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zamieszczony na stronie internetowej </w:t>
      </w:r>
      <w:hyperlink r:id="rId8" w:history="1">
        <w:r w:rsidR="002E0591" w:rsidRPr="00275862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www.gmina.suwalki.pl</w:t>
        </w:r>
      </w:hyperlink>
      <w:r w:rsidR="002E0591" w:rsidRPr="002758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2FFA53C" w14:textId="77777777" w:rsidR="002E0591" w:rsidRPr="00275862" w:rsidRDefault="002E0591" w:rsidP="0046070D">
      <w:pPr>
        <w:pStyle w:val="Tekstpodstawowywcity31"/>
        <w:spacing w:line="276" w:lineRule="auto"/>
        <w:ind w:firstLine="0"/>
        <w:jc w:val="both"/>
        <w:rPr>
          <w:rFonts w:eastAsia="Times New Roman" w:cs="Times New Roman"/>
          <w:color w:val="000000" w:themeColor="text1"/>
          <w:sz w:val="20"/>
          <w:szCs w:val="20"/>
        </w:rPr>
      </w:pPr>
    </w:p>
    <w:p w14:paraId="5472EC00" w14:textId="77777777" w:rsidR="00015509" w:rsidRPr="00275862" w:rsidRDefault="00015509" w:rsidP="002E0591">
      <w:pPr>
        <w:pStyle w:val="Tekstpodstawowywcity31"/>
        <w:spacing w:line="276" w:lineRule="auto"/>
        <w:ind w:firstLine="0"/>
        <w:jc w:val="both"/>
        <w:rPr>
          <w:rFonts w:eastAsia="Times New Roman" w:cs="Times New Roman"/>
          <w:color w:val="000000" w:themeColor="text1"/>
          <w:sz w:val="20"/>
          <w:szCs w:val="20"/>
        </w:rPr>
      </w:pPr>
    </w:p>
    <w:p w14:paraId="57D4A9EB" w14:textId="77777777" w:rsidR="00015509" w:rsidRPr="00513A3E" w:rsidRDefault="00015509" w:rsidP="002E0591">
      <w:pPr>
        <w:pStyle w:val="Tekstpodstawowywcity31"/>
        <w:spacing w:line="276" w:lineRule="auto"/>
        <w:ind w:firstLine="0"/>
        <w:jc w:val="both"/>
        <w:rPr>
          <w:rFonts w:eastAsia="Times New Roman" w:cs="Times New Roman"/>
          <w:sz w:val="20"/>
          <w:szCs w:val="20"/>
        </w:rPr>
      </w:pPr>
    </w:p>
    <w:p w14:paraId="1487881F" w14:textId="77777777" w:rsidR="00015509" w:rsidRDefault="00015509" w:rsidP="002E0591">
      <w:pPr>
        <w:pStyle w:val="Tekstpodstawowywcity31"/>
        <w:spacing w:line="276" w:lineRule="auto"/>
        <w:ind w:firstLine="0"/>
        <w:jc w:val="both"/>
        <w:rPr>
          <w:rFonts w:eastAsia="Times New Roman" w:cs="Times New Roman"/>
          <w:sz w:val="20"/>
          <w:szCs w:val="20"/>
        </w:rPr>
      </w:pPr>
    </w:p>
    <w:p w14:paraId="2E7DC862" w14:textId="77777777" w:rsidR="00545D4E" w:rsidRPr="00513A3E" w:rsidRDefault="00545D4E" w:rsidP="002E0591">
      <w:pPr>
        <w:pStyle w:val="Tekstpodstawowywcity31"/>
        <w:spacing w:line="276" w:lineRule="auto"/>
        <w:ind w:firstLine="0"/>
        <w:jc w:val="both"/>
        <w:rPr>
          <w:rFonts w:eastAsia="Times New Roman" w:cs="Times New Roman"/>
          <w:sz w:val="20"/>
          <w:szCs w:val="20"/>
        </w:rPr>
      </w:pPr>
    </w:p>
    <w:p w14:paraId="2A7D1724" w14:textId="77777777" w:rsidR="002E0591" w:rsidRPr="00513A3E" w:rsidRDefault="002E0591" w:rsidP="002E0591">
      <w:pPr>
        <w:pStyle w:val="Tekstpodstawowywcity31"/>
        <w:spacing w:line="276" w:lineRule="auto"/>
        <w:ind w:firstLine="0"/>
        <w:jc w:val="both"/>
        <w:rPr>
          <w:rFonts w:eastAsia="Times New Roman" w:cs="Times New Roman"/>
          <w:sz w:val="20"/>
          <w:szCs w:val="20"/>
        </w:rPr>
      </w:pPr>
    </w:p>
    <w:p w14:paraId="1BED9B1E" w14:textId="77777777" w:rsidR="00B96F8E" w:rsidRPr="00513A3E" w:rsidRDefault="003B7289" w:rsidP="00116DB4">
      <w:pPr>
        <w:pStyle w:val="Tekstpodstawowywcity31"/>
        <w:spacing w:line="276" w:lineRule="auto"/>
        <w:ind w:firstLine="0"/>
        <w:jc w:val="both"/>
        <w:rPr>
          <w:rFonts w:eastAsia="Times New Roman" w:cs="Times New Roman"/>
          <w:sz w:val="20"/>
          <w:szCs w:val="20"/>
        </w:rPr>
      </w:pPr>
      <w:r w:rsidRPr="00513A3E">
        <w:rPr>
          <w:rFonts w:eastAsia="Times New Roman" w:cs="Times New Roman"/>
          <w:sz w:val="20"/>
          <w:szCs w:val="20"/>
        </w:rPr>
        <w:t>Szczegółowe informacje</w:t>
      </w:r>
      <w:r w:rsidR="002E0591" w:rsidRPr="00513A3E">
        <w:rPr>
          <w:rFonts w:eastAsia="Times New Roman" w:cs="Times New Roman"/>
          <w:sz w:val="20"/>
          <w:szCs w:val="20"/>
        </w:rPr>
        <w:t xml:space="preserve"> o nieruchomościach zamieszczonych w wykazie można uzyskać w Urzędzie Gminy Suwałki ul. Świerkowa 45, w referacie ds. Mienia Komunalnego, pokój nr 137 lub pod numerem tel. (87) 565-93-73.</w:t>
      </w:r>
    </w:p>
    <w:sectPr w:rsidR="00B96F8E" w:rsidRPr="00513A3E" w:rsidSect="004646C8">
      <w:pgSz w:w="16838" w:h="11906" w:orient="landscape"/>
      <w:pgMar w:top="284" w:right="1417" w:bottom="709" w:left="1417" w:header="120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70136" w14:textId="77777777" w:rsidR="004A3851" w:rsidRDefault="004A3851" w:rsidP="00B96F8E">
      <w:pPr>
        <w:spacing w:after="0" w:line="240" w:lineRule="auto"/>
      </w:pPr>
      <w:r>
        <w:separator/>
      </w:r>
    </w:p>
  </w:endnote>
  <w:endnote w:type="continuationSeparator" w:id="0">
    <w:p w14:paraId="3FB3B98B" w14:textId="77777777" w:rsidR="004A3851" w:rsidRDefault="004A3851" w:rsidP="00B96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EF329" w14:textId="77777777" w:rsidR="004A3851" w:rsidRDefault="004A3851" w:rsidP="00B96F8E">
      <w:pPr>
        <w:spacing w:after="0" w:line="240" w:lineRule="auto"/>
      </w:pPr>
      <w:r>
        <w:separator/>
      </w:r>
    </w:p>
  </w:footnote>
  <w:footnote w:type="continuationSeparator" w:id="0">
    <w:p w14:paraId="50289F10" w14:textId="77777777" w:rsidR="004A3851" w:rsidRDefault="004A3851" w:rsidP="00B96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3735"/>
    <w:multiLevelType w:val="hybridMultilevel"/>
    <w:tmpl w:val="D7CEADCE"/>
    <w:lvl w:ilvl="0" w:tplc="B87AB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92400"/>
    <w:multiLevelType w:val="hybridMultilevel"/>
    <w:tmpl w:val="D7CEADCE"/>
    <w:lvl w:ilvl="0" w:tplc="B87AB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02617"/>
    <w:multiLevelType w:val="hybridMultilevel"/>
    <w:tmpl w:val="3B6E5362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4EB4B67"/>
    <w:multiLevelType w:val="hybridMultilevel"/>
    <w:tmpl w:val="2C5C3218"/>
    <w:lvl w:ilvl="0" w:tplc="B87AB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91DDE"/>
    <w:multiLevelType w:val="hybridMultilevel"/>
    <w:tmpl w:val="EA80E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E1196"/>
    <w:multiLevelType w:val="hybridMultilevel"/>
    <w:tmpl w:val="D7CEADCE"/>
    <w:lvl w:ilvl="0" w:tplc="B87AB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92687"/>
    <w:multiLevelType w:val="hybridMultilevel"/>
    <w:tmpl w:val="2C5C3218"/>
    <w:lvl w:ilvl="0" w:tplc="B87AB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74350"/>
    <w:multiLevelType w:val="hybridMultilevel"/>
    <w:tmpl w:val="3B6E53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A7B9F"/>
    <w:multiLevelType w:val="hybridMultilevel"/>
    <w:tmpl w:val="FAEE05E6"/>
    <w:lvl w:ilvl="0" w:tplc="8E802F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5210682">
    <w:abstractNumId w:val="4"/>
  </w:num>
  <w:num w:numId="2" w16cid:durableId="1847748328">
    <w:abstractNumId w:val="0"/>
  </w:num>
  <w:num w:numId="3" w16cid:durableId="1595280823">
    <w:abstractNumId w:val="1"/>
  </w:num>
  <w:num w:numId="4" w16cid:durableId="874732309">
    <w:abstractNumId w:val="5"/>
  </w:num>
  <w:num w:numId="5" w16cid:durableId="2061900411">
    <w:abstractNumId w:val="2"/>
  </w:num>
  <w:num w:numId="6" w16cid:durableId="783840236">
    <w:abstractNumId w:val="7"/>
  </w:num>
  <w:num w:numId="7" w16cid:durableId="503397571">
    <w:abstractNumId w:val="8"/>
  </w:num>
  <w:num w:numId="8" w16cid:durableId="572545420">
    <w:abstractNumId w:val="6"/>
  </w:num>
  <w:num w:numId="9" w16cid:durableId="13320986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F8E"/>
    <w:rsid w:val="00015509"/>
    <w:rsid w:val="000A1586"/>
    <w:rsid w:val="000D4DC2"/>
    <w:rsid w:val="000D5BF7"/>
    <w:rsid w:val="000E71C0"/>
    <w:rsid w:val="000E7426"/>
    <w:rsid w:val="00116DB4"/>
    <w:rsid w:val="00117897"/>
    <w:rsid w:val="00170642"/>
    <w:rsid w:val="00201D09"/>
    <w:rsid w:val="00224E84"/>
    <w:rsid w:val="00271046"/>
    <w:rsid w:val="00275862"/>
    <w:rsid w:val="002B70C7"/>
    <w:rsid w:val="002E0591"/>
    <w:rsid w:val="00347D2D"/>
    <w:rsid w:val="003676C6"/>
    <w:rsid w:val="00395FA6"/>
    <w:rsid w:val="003B7289"/>
    <w:rsid w:val="003E102C"/>
    <w:rsid w:val="003F3325"/>
    <w:rsid w:val="00410AC4"/>
    <w:rsid w:val="00435EF5"/>
    <w:rsid w:val="00447F89"/>
    <w:rsid w:val="004564A7"/>
    <w:rsid w:val="0046070D"/>
    <w:rsid w:val="004646C8"/>
    <w:rsid w:val="004A3851"/>
    <w:rsid w:val="004E3825"/>
    <w:rsid w:val="00513A3E"/>
    <w:rsid w:val="00514149"/>
    <w:rsid w:val="00537EE8"/>
    <w:rsid w:val="00545D4E"/>
    <w:rsid w:val="0060036D"/>
    <w:rsid w:val="006318AC"/>
    <w:rsid w:val="006E060E"/>
    <w:rsid w:val="007572A2"/>
    <w:rsid w:val="00776177"/>
    <w:rsid w:val="007E76EF"/>
    <w:rsid w:val="007E7B53"/>
    <w:rsid w:val="00800843"/>
    <w:rsid w:val="00832017"/>
    <w:rsid w:val="00846C8F"/>
    <w:rsid w:val="00852D64"/>
    <w:rsid w:val="00867700"/>
    <w:rsid w:val="008B2715"/>
    <w:rsid w:val="008B754C"/>
    <w:rsid w:val="008E1527"/>
    <w:rsid w:val="0091395D"/>
    <w:rsid w:val="00913E06"/>
    <w:rsid w:val="009276B0"/>
    <w:rsid w:val="00932F82"/>
    <w:rsid w:val="00952A56"/>
    <w:rsid w:val="009652D2"/>
    <w:rsid w:val="009A7A7B"/>
    <w:rsid w:val="009D48C0"/>
    <w:rsid w:val="00A250A9"/>
    <w:rsid w:val="00A54500"/>
    <w:rsid w:val="00A55C49"/>
    <w:rsid w:val="00AA3195"/>
    <w:rsid w:val="00AC66EC"/>
    <w:rsid w:val="00B30D39"/>
    <w:rsid w:val="00B553A4"/>
    <w:rsid w:val="00B72B18"/>
    <w:rsid w:val="00B96F8E"/>
    <w:rsid w:val="00C86CF9"/>
    <w:rsid w:val="00CB3460"/>
    <w:rsid w:val="00D04666"/>
    <w:rsid w:val="00D43AE3"/>
    <w:rsid w:val="00D61C97"/>
    <w:rsid w:val="00E1223C"/>
    <w:rsid w:val="00E7020A"/>
    <w:rsid w:val="00E905BA"/>
    <w:rsid w:val="00F41A13"/>
    <w:rsid w:val="00F7201B"/>
    <w:rsid w:val="00FB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0BADD1"/>
  <w15:chartTrackingRefBased/>
  <w15:docId w15:val="{30704B4D-B36E-400D-8C83-322F9475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F8E"/>
  </w:style>
  <w:style w:type="paragraph" w:styleId="Stopka">
    <w:name w:val="footer"/>
    <w:basedOn w:val="Normalny"/>
    <w:link w:val="StopkaZnak"/>
    <w:uiPriority w:val="99"/>
    <w:unhideWhenUsed/>
    <w:rsid w:val="00B96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F8E"/>
  </w:style>
  <w:style w:type="table" w:styleId="Tabela-Siatka">
    <w:name w:val="Table Grid"/>
    <w:basedOn w:val="Standardowy"/>
    <w:uiPriority w:val="39"/>
    <w:rsid w:val="00B96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6F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1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586"/>
    <w:rPr>
      <w:rFonts w:ascii="Segoe UI" w:hAnsi="Segoe UI" w:cs="Segoe UI"/>
      <w:sz w:val="18"/>
      <w:szCs w:val="18"/>
    </w:rPr>
  </w:style>
  <w:style w:type="paragraph" w:customStyle="1" w:styleId="Tekstpodstawowywcity31">
    <w:name w:val="Tekst podstawowy wcięty 31"/>
    <w:basedOn w:val="Normalny"/>
    <w:rsid w:val="002E0591"/>
    <w:pPr>
      <w:widowControl w:val="0"/>
      <w:suppressAutoHyphens/>
      <w:spacing w:after="0" w:line="240" w:lineRule="auto"/>
      <w:ind w:firstLine="1701"/>
    </w:pPr>
    <w:rPr>
      <w:rFonts w:ascii="Times New Roman" w:eastAsia="Lucida Sans Unicode" w:hAnsi="Times New Roman" w:cs="Tahoma"/>
      <w:kern w:val="2"/>
      <w:sz w:val="28"/>
      <w:szCs w:val="2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2E05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.suwalki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mbienio</cp:lastModifiedBy>
  <cp:revision>2</cp:revision>
  <cp:lastPrinted>2022-05-13T11:40:00Z</cp:lastPrinted>
  <dcterms:created xsi:type="dcterms:W3CDTF">2022-05-13T12:26:00Z</dcterms:created>
  <dcterms:modified xsi:type="dcterms:W3CDTF">2022-05-13T12:26:00Z</dcterms:modified>
</cp:coreProperties>
</file>